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61" w:rsidRDefault="00894A61" w:rsidP="00027DBF"/>
    <w:p w:rsidR="00894A61" w:rsidRDefault="00894A61" w:rsidP="00027DBF"/>
    <w:p w:rsidR="00A5263F" w:rsidRDefault="00894A61" w:rsidP="00027DBF">
      <w:r>
        <w:rPr>
          <w:noProof/>
        </w:rPr>
        <w:drawing>
          <wp:anchor distT="0" distB="0" distL="114300" distR="114300" simplePos="0" relativeHeight="251658240" behindDoc="0" locked="0" layoutInCell="1" allowOverlap="1" wp14:anchorId="727EF071" wp14:editId="0ADB22EE">
            <wp:simplePos x="0" y="0"/>
            <wp:positionH relativeFrom="column">
              <wp:posOffset>2645410</wp:posOffset>
            </wp:positionH>
            <wp:positionV relativeFrom="paragraph">
              <wp:posOffset>-222885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3F" w:rsidRDefault="00A5263F" w:rsidP="00027DBF"/>
    <w:p w:rsidR="00A5263F" w:rsidRPr="00F546D1" w:rsidRDefault="00A5263F" w:rsidP="00F546D1">
      <w:pPr>
        <w:jc w:val="center"/>
      </w:pP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A5263F" w:rsidRPr="00526877" w:rsidRDefault="00894A61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ДЬЯЧЕНКОВСКОГО </w:t>
      </w:r>
      <w:r w:rsidR="00A5263F" w:rsidRPr="00526877">
        <w:rPr>
          <w:b/>
          <w:sz w:val="28"/>
          <w:szCs w:val="28"/>
        </w:rPr>
        <w:t xml:space="preserve">СЕЛЬСКОГО ПОСЕЛЕНИЯ 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526877">
        <w:rPr>
          <w:b/>
          <w:sz w:val="28"/>
          <w:szCs w:val="28"/>
        </w:rPr>
        <w:t xml:space="preserve">НИЕ 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F546D1">
        <w:t>12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0C5061">
        <w:t>38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F546D1">
        <w:t xml:space="preserve">с. </w:t>
      </w:r>
      <w:proofErr w:type="spellStart"/>
      <w:r w:rsidR="00894A61">
        <w:t>Дьяченково</w:t>
      </w:r>
      <w:proofErr w:type="spellEnd"/>
    </w:p>
    <w:p w:rsidR="00C41DD6" w:rsidRDefault="00C41DD6" w:rsidP="00A5263F"/>
    <w:p w:rsidR="00C41DD6" w:rsidRDefault="00C41DD6" w:rsidP="00A5263F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>О создании приемочной комиссии</w:t>
      </w:r>
    </w:p>
    <w:p w:rsidR="00A5263F" w:rsidRPr="009D6B92" w:rsidRDefault="00C41DD6" w:rsidP="00A52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894A61">
        <w:rPr>
          <w:b/>
          <w:sz w:val="28"/>
          <w:szCs w:val="28"/>
        </w:rPr>
        <w:t>Дьяченковского</w:t>
      </w:r>
      <w:proofErr w:type="spellEnd"/>
      <w:r w:rsidR="00A5263F" w:rsidRPr="009D6B92">
        <w:rPr>
          <w:b/>
          <w:sz w:val="28"/>
          <w:szCs w:val="28"/>
        </w:rPr>
        <w:t xml:space="preserve">  сельского поселения</w:t>
      </w:r>
    </w:p>
    <w:p w:rsidR="00A5263F" w:rsidRPr="009D6B92" w:rsidRDefault="00A5263F" w:rsidP="00A5263F">
      <w:pPr>
        <w:rPr>
          <w:b/>
          <w:sz w:val="28"/>
          <w:szCs w:val="28"/>
        </w:rPr>
      </w:pPr>
      <w:r w:rsidRPr="009D6B92">
        <w:rPr>
          <w:b/>
          <w:sz w:val="28"/>
          <w:szCs w:val="28"/>
        </w:rPr>
        <w:t>Богучарского муниципального района</w:t>
      </w:r>
    </w:p>
    <w:p w:rsidR="00A5263F" w:rsidRPr="009D6B92" w:rsidRDefault="00A5263F" w:rsidP="00A5263F">
      <w:pPr>
        <w:rPr>
          <w:sz w:val="28"/>
          <w:szCs w:val="28"/>
        </w:rPr>
      </w:pPr>
      <w:r w:rsidRPr="009D6B92">
        <w:rPr>
          <w:b/>
          <w:sz w:val="28"/>
          <w:szCs w:val="28"/>
        </w:rPr>
        <w:t>Воронежской области</w:t>
      </w:r>
      <w:r w:rsidR="00C41DD6" w:rsidRPr="00C41DD6">
        <w:rPr>
          <w:b/>
          <w:sz w:val="28"/>
          <w:szCs w:val="28"/>
        </w:rPr>
        <w:t xml:space="preserve"> </w:t>
      </w:r>
      <w:r w:rsidR="00C41DD6" w:rsidRPr="00531425">
        <w:rPr>
          <w:b/>
          <w:sz w:val="28"/>
          <w:szCs w:val="28"/>
        </w:rPr>
        <w:t>и проведении экспертизы</w:t>
      </w:r>
    </w:p>
    <w:p w:rsidR="00A5263F" w:rsidRDefault="007928FC" w:rsidP="00A5263F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4ABD">
        <w:rPr>
          <w:rFonts w:ascii="Times New Roman" w:hAnsi="Times New Roman" w:cs="Times New Roman"/>
          <w:b w:val="0"/>
          <w:color w:val="auto"/>
        </w:rPr>
        <w:t>В соответствии с Федеральны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</w:rPr>
        <w:t>ом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со статьей 94 Федерал</w:t>
      </w:r>
      <w:r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</w:t>
      </w:r>
      <w:r w:rsidR="00C337BB">
        <w:rPr>
          <w:rFonts w:ascii="Times New Roman" w:hAnsi="Times New Roman" w:cs="Times New Roman"/>
          <w:b w:val="0"/>
          <w:color w:val="auto"/>
        </w:rPr>
        <w:t>:</w:t>
      </w:r>
    </w:p>
    <w:p w:rsidR="00C337BB" w:rsidRDefault="00C337BB" w:rsidP="00C337BB">
      <w:pPr>
        <w:pStyle w:val="a3"/>
        <w:numPr>
          <w:ilvl w:val="0"/>
          <w:numId w:val="1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337BB" w:rsidRPr="00B50D07" w:rsidRDefault="00C337BB" w:rsidP="0014256E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73B2">
        <w:rPr>
          <w:color w:val="000000"/>
          <w:spacing w:val="5"/>
          <w:sz w:val="28"/>
          <w:szCs w:val="28"/>
        </w:rPr>
        <w:t>Состав приемочной комиссии администрации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894A61">
        <w:rPr>
          <w:color w:val="000000"/>
          <w:spacing w:val="5"/>
          <w:sz w:val="28"/>
          <w:szCs w:val="28"/>
        </w:rPr>
        <w:t>Дьяченковского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</w:t>
      </w:r>
      <w:r w:rsidRPr="00A273B2">
        <w:rPr>
          <w:color w:val="000000"/>
          <w:spacing w:val="5"/>
          <w:sz w:val="28"/>
          <w:szCs w:val="28"/>
        </w:rPr>
        <w:t xml:space="preserve"> Богучарского</w:t>
      </w: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муниципального</w:t>
      </w:r>
      <w:proofErr w:type="gramEnd"/>
      <w:r>
        <w:rPr>
          <w:color w:val="000000"/>
          <w:spacing w:val="5"/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 согласно приложению 1  к настоящему распоряжению.</w:t>
      </w:r>
    </w:p>
    <w:p w:rsidR="00C337BB" w:rsidRDefault="00C337BB" w:rsidP="001425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 к настоящему распоряжению.</w:t>
      </w:r>
    </w:p>
    <w:p w:rsidR="00C337BB" w:rsidRDefault="00C337BB" w:rsidP="0014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Распоряжения</w:t>
      </w:r>
      <w:r w:rsidR="00A5263F" w:rsidRPr="00C337BB">
        <w:rPr>
          <w:sz w:val="28"/>
          <w:szCs w:val="28"/>
        </w:rPr>
        <w:t xml:space="preserve"> администрации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 w:rsidR="00E57E95">
        <w:rPr>
          <w:sz w:val="28"/>
          <w:szCs w:val="28"/>
        </w:rPr>
        <w:t xml:space="preserve"> сельского поселения </w:t>
      </w:r>
      <w:r w:rsidR="00A5263F" w:rsidRPr="00C337BB">
        <w:rPr>
          <w:sz w:val="28"/>
          <w:szCs w:val="28"/>
        </w:rPr>
        <w:t>Богучарского муниципального района Воронежской области</w:t>
      </w:r>
      <w:r w:rsidR="00E57E95">
        <w:rPr>
          <w:sz w:val="28"/>
          <w:szCs w:val="28"/>
        </w:rPr>
        <w:t>:</w:t>
      </w:r>
    </w:p>
    <w:p w:rsidR="00C337BB" w:rsidRDefault="00C337BB" w:rsidP="0014256E">
      <w:pPr>
        <w:jc w:val="both"/>
        <w:rPr>
          <w:sz w:val="28"/>
          <w:szCs w:val="28"/>
        </w:rPr>
      </w:pPr>
      <w:r w:rsidRPr="00C3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6DC1">
        <w:rPr>
          <w:sz w:val="28"/>
          <w:szCs w:val="28"/>
        </w:rPr>
        <w:t>-</w:t>
      </w:r>
      <w:r w:rsidR="00894A61">
        <w:rPr>
          <w:sz w:val="28"/>
          <w:szCs w:val="28"/>
        </w:rPr>
        <w:t xml:space="preserve"> </w:t>
      </w:r>
      <w:r w:rsidR="00E57E95">
        <w:rPr>
          <w:sz w:val="28"/>
          <w:szCs w:val="28"/>
        </w:rPr>
        <w:t>от 0</w:t>
      </w:r>
      <w:r w:rsidR="00894A61">
        <w:rPr>
          <w:sz w:val="28"/>
          <w:szCs w:val="28"/>
        </w:rPr>
        <w:t>5.09.2017  № 38</w:t>
      </w:r>
      <w:r>
        <w:rPr>
          <w:sz w:val="28"/>
          <w:szCs w:val="28"/>
        </w:rPr>
        <w:t xml:space="preserve">-р «О создании приёмочной (экспертной) комиссии для приёмки поставленного товара, результатов выполненной работы, оказанной услуги, предусмотренных муниципальным контрактом 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области»;</w:t>
      </w:r>
    </w:p>
    <w:p w:rsidR="00A5263F" w:rsidRPr="00C337BB" w:rsidRDefault="00C337BB" w:rsidP="0014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63F" w:rsidRPr="00C337BB">
        <w:rPr>
          <w:sz w:val="28"/>
          <w:szCs w:val="28"/>
        </w:rPr>
        <w:t xml:space="preserve"> </w:t>
      </w:r>
      <w:r w:rsidR="00736DC1">
        <w:rPr>
          <w:sz w:val="28"/>
          <w:szCs w:val="28"/>
        </w:rPr>
        <w:t xml:space="preserve">- </w:t>
      </w:r>
      <w:r w:rsidR="00894A61">
        <w:rPr>
          <w:sz w:val="28"/>
          <w:szCs w:val="28"/>
        </w:rPr>
        <w:t>от 2</w:t>
      </w:r>
      <w:r w:rsidR="0061442C">
        <w:rPr>
          <w:sz w:val="28"/>
          <w:szCs w:val="28"/>
        </w:rPr>
        <w:t>7.05.2019</w:t>
      </w:r>
      <w:r w:rsidR="00614C6A">
        <w:rPr>
          <w:sz w:val="28"/>
          <w:szCs w:val="28"/>
        </w:rPr>
        <w:t xml:space="preserve"> </w:t>
      </w:r>
      <w:r w:rsidR="00894A61">
        <w:rPr>
          <w:sz w:val="28"/>
          <w:szCs w:val="28"/>
        </w:rPr>
        <w:t>№22</w:t>
      </w:r>
      <w:r w:rsidR="00A5263F" w:rsidRPr="00C337BB">
        <w:rPr>
          <w:sz w:val="28"/>
          <w:szCs w:val="28"/>
        </w:rPr>
        <w:t xml:space="preserve">-р «О создании единой комиссии по осуществлению закупок товаров, работ, услуг для обеспечения муниципальных нужд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 w:rsidR="00614C6A">
        <w:rPr>
          <w:sz w:val="28"/>
          <w:szCs w:val="28"/>
        </w:rPr>
        <w:t xml:space="preserve"> </w:t>
      </w:r>
      <w:r w:rsidR="00A5263F" w:rsidRPr="00C337BB">
        <w:rPr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  <w:r w:rsidR="00E57E95">
        <w:rPr>
          <w:sz w:val="28"/>
          <w:szCs w:val="28"/>
        </w:rPr>
        <w:t xml:space="preserve">признать </w:t>
      </w:r>
      <w:r w:rsidR="00A5263F" w:rsidRPr="00C337B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="00A5263F" w:rsidRPr="00C337BB">
        <w:rPr>
          <w:sz w:val="28"/>
          <w:szCs w:val="28"/>
        </w:rPr>
        <w:t xml:space="preserve"> силу.</w:t>
      </w:r>
    </w:p>
    <w:p w:rsidR="00A5263F" w:rsidRDefault="00C337BB" w:rsidP="00C337BB">
      <w:pPr>
        <w:pStyle w:val="a3"/>
        <w:suppressAutoHyphens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63F">
        <w:rPr>
          <w:sz w:val="28"/>
          <w:szCs w:val="28"/>
        </w:rPr>
        <w:t>3</w:t>
      </w:r>
      <w:r w:rsidR="00A5263F" w:rsidRPr="00FA4472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   </w:t>
      </w:r>
      <w:r w:rsidR="00894A61">
        <w:rPr>
          <w:sz w:val="28"/>
          <w:szCs w:val="28"/>
        </w:rPr>
        <w:t xml:space="preserve">В.И. </w:t>
      </w:r>
      <w:proofErr w:type="spellStart"/>
      <w:r w:rsidR="00894A61">
        <w:rPr>
          <w:sz w:val="28"/>
          <w:szCs w:val="28"/>
        </w:rPr>
        <w:t>Сыкалов</w:t>
      </w:r>
      <w:proofErr w:type="spellEnd"/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lastRenderedPageBreak/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proofErr w:type="spellStart"/>
            <w:r w:rsidR="00894A61">
              <w:t>Дьяченковского</w:t>
            </w:r>
            <w:proofErr w:type="spellEnd"/>
            <w:r>
              <w:t xml:space="preserve"> сельского поселения</w:t>
            </w:r>
            <w:r w:rsidR="00542AEA">
              <w:t xml:space="preserve"> Богучарского </w:t>
            </w:r>
            <w:proofErr w:type="gramStart"/>
            <w:r w:rsidR="00542AEA">
              <w:t>муниципального</w:t>
            </w:r>
            <w:proofErr w:type="gramEnd"/>
            <w:r w:rsidR="00542AEA">
              <w:t xml:space="preserve"> района Воронежской области</w:t>
            </w:r>
          </w:p>
          <w:p w:rsidR="0053697A" w:rsidRPr="0053697A" w:rsidRDefault="00736474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12.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 w:rsidR="0053697A" w:rsidRPr="0053697A">
              <w:rPr>
                <w:snapToGrid w:val="0"/>
                <w:sz w:val="24"/>
                <w:szCs w:val="24"/>
              </w:rPr>
              <w:t xml:space="preserve">. 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 w:rsidR="00894A61">
              <w:rPr>
                <w:snapToGrid w:val="0"/>
                <w:sz w:val="24"/>
                <w:szCs w:val="24"/>
              </w:rPr>
              <w:t xml:space="preserve"> № </w:t>
            </w:r>
            <w:r w:rsidR="000C5061">
              <w:rPr>
                <w:snapToGrid w:val="0"/>
                <w:sz w:val="24"/>
                <w:szCs w:val="24"/>
              </w:rPr>
              <w:t>38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53697A" w:rsidRPr="0053697A" w:rsidRDefault="0053697A" w:rsidP="0053697A">
      <w:pPr>
        <w:jc w:val="center"/>
        <w:rPr>
          <w:sz w:val="28"/>
          <w:szCs w:val="28"/>
        </w:rPr>
      </w:pPr>
      <w:r w:rsidRPr="0053697A">
        <w:rPr>
          <w:sz w:val="28"/>
          <w:szCs w:val="28"/>
        </w:rPr>
        <w:t>Состав приемочной 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3697A">
        <w:rPr>
          <w:sz w:val="28"/>
          <w:szCs w:val="28"/>
        </w:rPr>
        <w:t xml:space="preserve"> Богучарского </w:t>
      </w:r>
      <w:proofErr w:type="gramStart"/>
      <w:r w:rsidRPr="0053697A">
        <w:rPr>
          <w:sz w:val="28"/>
          <w:szCs w:val="28"/>
        </w:rPr>
        <w:t>муниципального</w:t>
      </w:r>
      <w:proofErr w:type="gramEnd"/>
      <w:r w:rsidRPr="0053697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</w:t>
      </w:r>
    </w:p>
    <w:p w:rsidR="0053697A" w:rsidRPr="00813565" w:rsidRDefault="0053697A" w:rsidP="0053697A">
      <w:pPr>
        <w:rPr>
          <w:color w:val="000000"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jc w:val="center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 в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894A61" w:rsidP="00CB6B76">
            <w:pPr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Сыкалов</w:t>
            </w:r>
            <w:proofErr w:type="spellEnd"/>
            <w:r>
              <w:rPr>
                <w:color w:val="000000"/>
                <w:spacing w:val="5"/>
              </w:rPr>
              <w:t xml:space="preserve"> Виктор Иванович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t xml:space="preserve">Глава </w:t>
            </w:r>
            <w:proofErr w:type="spellStart"/>
            <w:r w:rsidR="00894A61">
              <w:t>Дьяченковского</w:t>
            </w:r>
            <w:proofErr w:type="spellEnd"/>
            <w:r>
              <w:t xml:space="preserve"> сельского поселения Богучарского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Воронежской области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Председатель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894A61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Беспалова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Ведущий специалист администрации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Заместитель председателя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894A61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Подлипаева Ирина Владимировна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F2332A" w:rsidRDefault="00F2332A" w:rsidP="0053697A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F2332A">
              <w:t>Бухгалтер МКУ «Центр бюджетного учета и отчетности Богучарского муниципального района Воронежской области»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Секретарь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894A61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Костенко Елена Петровна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 xml:space="preserve">Старший инспектор </w:t>
            </w:r>
            <w:r>
              <w:rPr>
                <w:color w:val="000000"/>
                <w:spacing w:val="5"/>
              </w:rPr>
              <w:t>администрации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  <w:tr w:rsidR="00736DC1" w:rsidRPr="00813565" w:rsidTr="00CB6B76">
        <w:tc>
          <w:tcPr>
            <w:tcW w:w="3190" w:type="dxa"/>
            <w:shd w:val="clear" w:color="auto" w:fill="FFFFFF" w:themeFill="background1"/>
          </w:tcPr>
          <w:p w:rsidR="00736DC1" w:rsidRDefault="00894A61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Дулов</w:t>
            </w:r>
            <w:proofErr w:type="spellEnd"/>
            <w:r>
              <w:rPr>
                <w:color w:val="000000"/>
                <w:spacing w:val="5"/>
              </w:rPr>
              <w:t xml:space="preserve"> Геннадий Валерьевич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736DC1" w:rsidRPr="006F466E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t xml:space="preserve">Депутат Совета народных депутатов </w:t>
            </w:r>
            <w:proofErr w:type="spellStart"/>
            <w:r w:rsidR="00894A61">
              <w:t>Дьяченковского</w:t>
            </w:r>
            <w:proofErr w:type="spellEnd"/>
            <w:r>
              <w:t xml:space="preserve"> сельского поселения, председатель комиссии</w:t>
            </w:r>
            <w:r w:rsidRPr="006F466E">
              <w:t xml:space="preserve">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      </w:r>
          </w:p>
        </w:tc>
        <w:tc>
          <w:tcPr>
            <w:tcW w:w="3191" w:type="dxa"/>
            <w:shd w:val="clear" w:color="auto" w:fill="FFFFFF" w:themeFill="background1"/>
          </w:tcPr>
          <w:p w:rsidR="00736DC1" w:rsidRPr="00813565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</w:tbl>
    <w:p w:rsidR="00A5263F" w:rsidRDefault="00A5263F" w:rsidP="00A52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63F" w:rsidRDefault="00A5263F" w:rsidP="00A5263F"/>
    <w:p w:rsidR="00A5263F" w:rsidRDefault="00A5263F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547489" w:rsidRDefault="00547489" w:rsidP="0053697A">
      <w:pPr>
        <w:ind w:left="5664" w:firstLine="6"/>
      </w:pPr>
    </w:p>
    <w:p w:rsidR="0053697A" w:rsidRPr="0053697A" w:rsidRDefault="0053697A" w:rsidP="0053697A">
      <w:pPr>
        <w:ind w:left="5664" w:firstLine="6"/>
      </w:pPr>
      <w:r w:rsidRPr="0053697A">
        <w:lastRenderedPageBreak/>
        <w:t>Приложение 2</w:t>
      </w:r>
      <w:r>
        <w:t xml:space="preserve"> к</w:t>
      </w:r>
      <w:r w:rsidRPr="0053697A">
        <w:t xml:space="preserve"> распоряжению администрации</w:t>
      </w:r>
      <w:r>
        <w:t xml:space="preserve"> </w:t>
      </w:r>
      <w:proofErr w:type="spellStart"/>
      <w:r w:rsidR="00894A61">
        <w:t>Дьяченковского</w:t>
      </w:r>
      <w:proofErr w:type="spellEnd"/>
      <w:r>
        <w:t xml:space="preserve"> сельского поселения</w:t>
      </w:r>
      <w:r w:rsidRPr="0053697A">
        <w:t xml:space="preserve"> Богучарского </w:t>
      </w:r>
      <w:proofErr w:type="gramStart"/>
      <w:r w:rsidRPr="0053697A">
        <w:t>муниципального</w:t>
      </w:r>
      <w:proofErr w:type="gramEnd"/>
      <w:r w:rsidRPr="0053697A">
        <w:t xml:space="preserve"> района</w:t>
      </w:r>
      <w:r>
        <w:t xml:space="preserve"> Воронежской области</w:t>
      </w:r>
    </w:p>
    <w:p w:rsidR="0053697A" w:rsidRPr="0053697A" w:rsidRDefault="0053697A" w:rsidP="0053697A">
      <w:pPr>
        <w:pStyle w:val="a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</w:t>
      </w:r>
      <w:r w:rsidRPr="0053697A">
        <w:rPr>
          <w:snapToGrid w:val="0"/>
          <w:sz w:val="24"/>
          <w:szCs w:val="24"/>
        </w:rPr>
        <w:t xml:space="preserve">от </w:t>
      </w:r>
      <w:r w:rsidR="00547489">
        <w:rPr>
          <w:snapToGrid w:val="0"/>
          <w:sz w:val="24"/>
          <w:szCs w:val="24"/>
        </w:rPr>
        <w:t>12.</w:t>
      </w:r>
      <w:r w:rsidR="006F466E">
        <w:rPr>
          <w:snapToGrid w:val="0"/>
          <w:sz w:val="24"/>
          <w:szCs w:val="24"/>
        </w:rPr>
        <w:t>08</w:t>
      </w:r>
      <w:r w:rsidR="00547489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2024 </w:t>
      </w:r>
      <w:r w:rsidR="000C5061">
        <w:rPr>
          <w:snapToGrid w:val="0"/>
          <w:sz w:val="24"/>
          <w:szCs w:val="24"/>
        </w:rPr>
        <w:t xml:space="preserve"> № 38</w:t>
      </w:r>
      <w:r w:rsidR="006F466E">
        <w:rPr>
          <w:snapToGrid w:val="0"/>
          <w:sz w:val="24"/>
          <w:szCs w:val="24"/>
        </w:rPr>
        <w:t>-р</w:t>
      </w:r>
    </w:p>
    <w:p w:rsidR="0053697A" w:rsidRPr="005469E2" w:rsidRDefault="0053697A" w:rsidP="0053697A">
      <w:pPr>
        <w:ind w:firstLine="5670"/>
        <w:jc w:val="both"/>
        <w:rPr>
          <w:b/>
          <w:sz w:val="28"/>
          <w:szCs w:val="28"/>
        </w:rPr>
      </w:pPr>
    </w:p>
    <w:p w:rsidR="0053697A" w:rsidRPr="00C43AC5" w:rsidRDefault="0053697A" w:rsidP="005369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53697A" w:rsidRPr="00C43AC5" w:rsidRDefault="0053697A" w:rsidP="0053697A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</w:t>
      </w:r>
      <w:proofErr w:type="spellStart"/>
      <w:r w:rsidR="00894A61">
        <w:rPr>
          <w:sz w:val="28"/>
          <w:szCs w:val="28"/>
        </w:rPr>
        <w:t>Дьяченковского</w:t>
      </w:r>
      <w:proofErr w:type="spellEnd"/>
      <w:r w:rsidR="00542AEA">
        <w:rPr>
          <w:sz w:val="28"/>
          <w:szCs w:val="28"/>
        </w:rPr>
        <w:t xml:space="preserve"> сельского поселения </w:t>
      </w:r>
      <w:r w:rsidRPr="003959D6">
        <w:rPr>
          <w:sz w:val="28"/>
          <w:szCs w:val="28"/>
        </w:rPr>
        <w:t>Богучарского муниципального района Воронежской области (далее - Заказчик).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</w:t>
      </w:r>
      <w:r w:rsidR="00542AEA">
        <w:rPr>
          <w:sz w:val="28"/>
          <w:szCs w:val="28"/>
        </w:rPr>
        <w:t xml:space="preserve">еральным законом от 05.04.2013 № </w:t>
      </w:r>
      <w:r w:rsidRPr="003959D6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</w:t>
      </w:r>
      <w:r w:rsidR="00542AEA">
        <w:rPr>
          <w:sz w:val="28"/>
          <w:szCs w:val="28"/>
        </w:rPr>
        <w:t>ципальных нужд" (далее - Закон №</w:t>
      </w:r>
      <w:r w:rsidRPr="003959D6">
        <w:rPr>
          <w:sz w:val="28"/>
          <w:szCs w:val="28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53697A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</w:t>
      </w:r>
      <w:r w:rsidRPr="003959D6">
        <w:rPr>
          <w:sz w:val="28"/>
          <w:szCs w:val="28"/>
        </w:rPr>
        <w:lastRenderedPageBreak/>
        <w:t>таком случае обязан донести до руководителя Заказчика информацию о необходимости замены члена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3697A" w:rsidRPr="003959D6" w:rsidRDefault="0053697A" w:rsidP="00542A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</w:t>
      </w:r>
      <w:r w:rsidR="00542AEA">
        <w:rPr>
          <w:sz w:val="28"/>
          <w:szCs w:val="28"/>
        </w:rPr>
        <w:t xml:space="preserve">         </w:t>
      </w:r>
      <w:r w:rsidRPr="003959D6">
        <w:rPr>
          <w:sz w:val="28"/>
          <w:szCs w:val="28"/>
        </w:rPr>
        <w:t>6. Функциями Комиссии являются: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40"/>
      <w:bookmarkEnd w:id="0"/>
      <w:r w:rsidRPr="003959D6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Председатель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</w:t>
      </w:r>
      <w:r w:rsidR="00542AEA">
        <w:rPr>
          <w:sz w:val="28"/>
          <w:szCs w:val="28"/>
        </w:rPr>
        <w:t>учаях, предусмотренных Законом №</w:t>
      </w:r>
      <w:r w:rsidRPr="003959D6">
        <w:rPr>
          <w:sz w:val="28"/>
          <w:szCs w:val="28"/>
        </w:rPr>
        <w:t xml:space="preserve"> 44-ФЗ, а также когда это необходимо в связи со спецификой результатов исполнения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</w:t>
      </w:r>
      <w:r w:rsidR="00542AEA">
        <w:rPr>
          <w:sz w:val="28"/>
          <w:szCs w:val="28"/>
        </w:rPr>
        <w:t>ых по п. 5 ч. 11 ст. 24 Закона №</w:t>
      </w:r>
      <w:r w:rsidRPr="003959D6">
        <w:rPr>
          <w:sz w:val="28"/>
          <w:szCs w:val="28"/>
        </w:rPr>
        <w:t xml:space="preserve">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</w:t>
      </w:r>
      <w:r w:rsidR="00542AEA">
        <w:rPr>
          <w:sz w:val="28"/>
          <w:szCs w:val="28"/>
        </w:rPr>
        <w:t>тренном ч. 13 ст. 94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</w:t>
      </w:r>
      <w:r w:rsidR="00542AEA">
        <w:rPr>
          <w:sz w:val="28"/>
          <w:szCs w:val="28"/>
        </w:rPr>
        <w:t>чение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</w:t>
      </w:r>
      <w:r w:rsidR="00542AEA">
        <w:rPr>
          <w:sz w:val="28"/>
          <w:szCs w:val="28"/>
        </w:rPr>
        <w:t>тавил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</w:t>
      </w:r>
      <w:r w:rsidR="00542AEA">
        <w:rPr>
          <w:sz w:val="28"/>
          <w:szCs w:val="28"/>
        </w:rPr>
        <w:t>тветствии с ч. 8 ст. 94 Закона №</w:t>
      </w:r>
      <w:r w:rsidRPr="003959D6">
        <w:rPr>
          <w:sz w:val="28"/>
          <w:szCs w:val="28"/>
        </w:rPr>
        <w:t xml:space="preserve">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</w:t>
      </w:r>
      <w:r w:rsidR="00542AEA">
        <w:rPr>
          <w:sz w:val="28"/>
          <w:szCs w:val="28"/>
        </w:rPr>
        <w:t>твии с ч. 3, 4.1 ст. 94 Закона №</w:t>
      </w:r>
      <w:r w:rsidRPr="003959D6">
        <w:rPr>
          <w:sz w:val="28"/>
          <w:szCs w:val="28"/>
        </w:rPr>
        <w:t xml:space="preserve"> 44-ФЗ экспертиза поставленных товаров, выполненных работ, оказанных услуг проведена привлеченными экспертами, экспертными организациями, Комиссия </w:t>
      </w:r>
      <w:r w:rsidRPr="003959D6">
        <w:rPr>
          <w:sz w:val="28"/>
          <w:szCs w:val="28"/>
        </w:rPr>
        <w:lastRenderedPageBreak/>
        <w:t>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</w:t>
      </w:r>
      <w:r w:rsidR="00542AEA">
        <w:rPr>
          <w:sz w:val="28"/>
          <w:szCs w:val="28"/>
        </w:rPr>
        <w:t>занными в ч. 2, 3 ст. 2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542AEA" w:rsidRPr="00542AEA" w:rsidRDefault="00542AEA" w:rsidP="00542AEA">
      <w:pPr>
        <w:ind w:left="5664" w:firstLine="6"/>
      </w:pPr>
      <w:r>
        <w:t xml:space="preserve">Приложение  к приложению </w:t>
      </w:r>
      <w:r w:rsidRPr="00542AEA">
        <w:t xml:space="preserve"> 2</w:t>
      </w:r>
    </w:p>
    <w:p w:rsidR="00542AEA" w:rsidRPr="00542AEA" w:rsidRDefault="00542AEA" w:rsidP="00542AEA">
      <w:pPr>
        <w:ind w:left="5664" w:firstLine="6"/>
      </w:pPr>
      <w:r>
        <w:t>к</w:t>
      </w:r>
      <w:r w:rsidRPr="00542AEA">
        <w:t xml:space="preserve"> распоряжению администрации</w:t>
      </w:r>
      <w:r>
        <w:t xml:space="preserve"> </w:t>
      </w:r>
      <w:proofErr w:type="spellStart"/>
      <w:r w:rsidR="00894A61">
        <w:t>Дьяченковского</w:t>
      </w:r>
      <w:proofErr w:type="spellEnd"/>
      <w:r>
        <w:t xml:space="preserve"> сельского поселения</w:t>
      </w:r>
      <w:r w:rsidRPr="00542AEA">
        <w:t xml:space="preserve"> Богучарского </w:t>
      </w:r>
      <w:proofErr w:type="gramStart"/>
      <w:r w:rsidRPr="00542AEA">
        <w:t>муниципального</w:t>
      </w:r>
      <w:proofErr w:type="gramEnd"/>
      <w:r w:rsidRPr="00542AEA">
        <w:t xml:space="preserve"> района</w:t>
      </w:r>
      <w:r>
        <w:t xml:space="preserve"> Воронежской области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</w:t>
      </w:r>
      <w:r w:rsidRPr="00542AEA">
        <w:t xml:space="preserve">от </w:t>
      </w:r>
      <w:r w:rsidR="0013729D">
        <w:t xml:space="preserve"> 12.08.2024  №38</w:t>
      </w:r>
      <w:r w:rsidR="006F466E">
        <w:t>-р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</w:p>
    <w:p w:rsidR="00542AEA" w:rsidRPr="00542AEA" w:rsidRDefault="00542AEA" w:rsidP="00542AEA">
      <w:pPr>
        <w:widowControl w:val="0"/>
        <w:autoSpaceDE w:val="0"/>
        <w:autoSpaceDN w:val="0"/>
        <w:adjustRightInd w:val="0"/>
        <w:jc w:val="right"/>
        <w:outlineLvl w:val="1"/>
      </w:pP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  <w:bookmarkStart w:id="1" w:name="_GoBack"/>
      <w:bookmarkEnd w:id="1"/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DE0994" w:rsidRDefault="0044444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94A61">
        <w:rPr>
          <w:rFonts w:ascii="Times New Roman" w:hAnsi="Times New Roman" w:cs="Times New Roman"/>
          <w:sz w:val="28"/>
          <w:szCs w:val="28"/>
        </w:rPr>
        <w:t>Дьяченково</w:t>
      </w:r>
      <w:proofErr w:type="spellEnd"/>
      <w:r w:rsidR="00542AEA" w:rsidRPr="00DE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42AEA">
        <w:rPr>
          <w:rFonts w:ascii="Times New Roman" w:hAnsi="Times New Roman" w:cs="Times New Roman"/>
          <w:sz w:val="28"/>
          <w:szCs w:val="28"/>
        </w:rPr>
        <w:t xml:space="preserve"> </w:t>
      </w:r>
      <w:r w:rsidR="00542AEA"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E0994">
        <w:rPr>
          <w:rFonts w:ascii="Times New Roman" w:hAnsi="Times New Roman" w:cs="Times New Roman"/>
          <w:sz w:val="28"/>
          <w:szCs w:val="28"/>
        </w:rPr>
        <w:t>1. В соответствии с условиями заключенного Сторонами Муниципального  контракта от "___" _______ 20___ г. N_____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117"/>
        <w:gridCol w:w="1213"/>
        <w:gridCol w:w="2361"/>
        <w:gridCol w:w="2126"/>
      </w:tblGrid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7293" w:type="dxa"/>
            <w:gridSpan w:val="4"/>
          </w:tcPr>
          <w:p w:rsidR="00542AEA" w:rsidRPr="00DE0994" w:rsidRDefault="00542AEA" w:rsidP="00CB6B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5. Результаты приемки товара, работы, услуги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542AEA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8. Настоящий акт составлен в двух экземплярах одинакового содержания - по одному для каждой из Сторон.</w:t>
      </w:r>
    </w:p>
    <w:p w:rsidR="00542AEA" w:rsidRPr="00DE0994" w:rsidRDefault="00542AEA" w:rsidP="00542A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    Председатель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Муниципальный заказчик: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542AEA" w:rsidRPr="00DE0994" w:rsidRDefault="00542AEA" w:rsidP="0054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4" w:name="Par697"/>
      <w:bookmarkEnd w:id="4"/>
    </w:p>
    <w:p w:rsidR="00542AEA" w:rsidRPr="00DE0994" w:rsidRDefault="00542AEA" w:rsidP="00542A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7928FC" w:rsidRDefault="007928FC" w:rsidP="00027DBF"/>
    <w:p w:rsidR="007928FC" w:rsidRDefault="007928FC" w:rsidP="00027DBF"/>
    <w:p w:rsidR="007928FC" w:rsidRDefault="007928FC" w:rsidP="00027DBF"/>
    <w:p w:rsidR="001318E2" w:rsidRDefault="001318E2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542AEA" w:rsidRDefault="00542AEA" w:rsidP="00027DBF"/>
    <w:p w:rsidR="00542AEA" w:rsidRDefault="00542AEA" w:rsidP="00027DBF"/>
    <w:p w:rsidR="00542AEA" w:rsidRDefault="00542AEA" w:rsidP="00027DBF"/>
    <w:p w:rsidR="00C337BB" w:rsidRDefault="00C337BB" w:rsidP="00027DBF"/>
    <w:p w:rsidR="009459A8" w:rsidRDefault="009459A8" w:rsidP="006A2B7B">
      <w:pPr>
        <w:rPr>
          <w:sz w:val="28"/>
          <w:szCs w:val="28"/>
        </w:rPr>
      </w:pPr>
    </w:p>
    <w:p w:rsidR="009459A8" w:rsidRDefault="009459A8" w:rsidP="00027DBF"/>
    <w:sectPr w:rsidR="009459A8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E5E"/>
    <w:rsid w:val="00027DBF"/>
    <w:rsid w:val="000C5061"/>
    <w:rsid w:val="001318E2"/>
    <w:rsid w:val="0013729D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4444A"/>
    <w:rsid w:val="00482A38"/>
    <w:rsid w:val="00513442"/>
    <w:rsid w:val="0053697A"/>
    <w:rsid w:val="00542AEA"/>
    <w:rsid w:val="00547489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86109E"/>
    <w:rsid w:val="00894A61"/>
    <w:rsid w:val="009459A8"/>
    <w:rsid w:val="009633FA"/>
    <w:rsid w:val="009E4EDC"/>
    <w:rsid w:val="00A5263F"/>
    <w:rsid w:val="00AB1A27"/>
    <w:rsid w:val="00B2673B"/>
    <w:rsid w:val="00C30A77"/>
    <w:rsid w:val="00C337BB"/>
    <w:rsid w:val="00C41DD6"/>
    <w:rsid w:val="00C43C87"/>
    <w:rsid w:val="00C856FA"/>
    <w:rsid w:val="00CD3ACA"/>
    <w:rsid w:val="00DC5114"/>
    <w:rsid w:val="00DD404C"/>
    <w:rsid w:val="00E410DD"/>
    <w:rsid w:val="00E57E95"/>
    <w:rsid w:val="00EA12D6"/>
    <w:rsid w:val="00F2332A"/>
    <w:rsid w:val="00F4115E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Дьяченково</cp:lastModifiedBy>
  <cp:revision>54</cp:revision>
  <cp:lastPrinted>2024-08-18T15:01:00Z</cp:lastPrinted>
  <dcterms:created xsi:type="dcterms:W3CDTF">2018-04-18T11:36:00Z</dcterms:created>
  <dcterms:modified xsi:type="dcterms:W3CDTF">2024-08-18T15:01:00Z</dcterms:modified>
</cp:coreProperties>
</file>