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CC8A3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2693035</wp:posOffset>
            </wp:positionH>
            <wp:positionV relativeFrom="paragraph">
              <wp:posOffset>11430</wp:posOffset>
            </wp:positionV>
            <wp:extent cx="586105" cy="742950"/>
            <wp:effectExtent l="0" t="0" r="4445" b="0"/>
            <wp:wrapNone/>
            <wp:docPr id="1" name="Рисунок 1" descr="ДьяченковсоеСП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ДьяченковсоеСП_ПП-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6105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A296299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4C96FA56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5B0A1903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0C32BB81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АДМИНИСТРАЦИЯ</w:t>
      </w:r>
    </w:p>
    <w:p w14:paraId="165FCEDB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ДЬЯЧЕНКОВСКОГО СЕЛЬСКОГО ПОСЕЛЕНИЯ</w:t>
      </w:r>
    </w:p>
    <w:p w14:paraId="696485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БОГУЧАРСКОГО МУНИЦИПАЛЬНОГО РАЙОНА</w:t>
      </w:r>
    </w:p>
    <w:p w14:paraId="7121DC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ВОРОНЕЖСКОЙ ОБЛАСТИ</w:t>
      </w:r>
    </w:p>
    <w:p w14:paraId="220D0C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ПОСТАНОВЛЕНИЕ</w:t>
      </w:r>
    </w:p>
    <w:p w14:paraId="57DEC0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4DDF0268">
      <w:pPr>
        <w:tabs>
          <w:tab w:val="left" w:leader="underscore" w:pos="1157"/>
          <w:tab w:val="left" w:leader="underscore" w:pos="2990"/>
          <w:tab w:val="left" w:leader="underscore" w:pos="50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от «07» мая 2024 года  №20</w:t>
      </w:r>
    </w:p>
    <w:p w14:paraId="4D840203">
      <w:pPr>
        <w:tabs>
          <w:tab w:val="left" w:leader="underscore" w:pos="1157"/>
          <w:tab w:val="left" w:leader="underscore" w:pos="2990"/>
          <w:tab w:val="left" w:leader="underscore" w:pos="50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с. Дьяченково</w:t>
      </w:r>
    </w:p>
    <w:p w14:paraId="4F03E8A8">
      <w:pPr>
        <w:tabs>
          <w:tab w:val="left" w:leader="underscore" w:pos="1157"/>
          <w:tab w:val="left" w:leader="underscore" w:pos="2990"/>
          <w:tab w:val="left" w:leader="underscore" w:pos="50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pPr>
    </w:p>
    <w:p w14:paraId="7D78D3E1">
      <w:pPr>
        <w:autoSpaceDE w:val="0"/>
        <w:autoSpaceDN w:val="0"/>
        <w:adjustRightInd w:val="0"/>
        <w:spacing w:after="0" w:line="240" w:lineRule="auto"/>
        <w:ind w:right="3968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Об утверждении Перечня муниципальных услуг, предоставление которых осуществляется по принципу «одного окна» в МФЦ, входящих в компетенцию органов местного самоуправления Дьяченковского сельского поселения Богучарского муниципального района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Воронежской области</w:t>
      </w:r>
    </w:p>
    <w:p w14:paraId="5EE0B1CF">
      <w:pPr>
        <w:autoSpaceDE w:val="0"/>
        <w:autoSpaceDN w:val="0"/>
        <w:adjustRightInd w:val="0"/>
        <w:spacing w:after="0" w:line="240" w:lineRule="auto"/>
        <w:ind w:right="3968"/>
        <w:jc w:val="both"/>
        <w:rPr>
          <w:rFonts w:hint="default" w:ascii="Times New Roman" w:hAnsi="Times New Roman" w:eastAsia="Times New Roman" w:cs="Times New Roman"/>
          <w:b w:val="0"/>
          <w:bCs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b w:val="0"/>
          <w:bCs/>
          <w:sz w:val="28"/>
          <w:szCs w:val="28"/>
          <w:lang w:val="en-US" w:eastAsia="ru-RU"/>
        </w:rPr>
        <w:t>(в редакции от 02.11.2024 №59, от 03.02.2025 №3, от 07.07.2025 №30, от 01.04.2026 №15)</w:t>
      </w:r>
    </w:p>
    <w:p w14:paraId="297E9A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41137E7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соответствии с Федеральными законами от 06.10.2003 № 131 - ФЗ «Об общих принципах организации местного самоуправления в Российской Федерации», от 28.07.2012 № 13З-ФЗ «О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«одного окна»», постановлением правительства Воронежской области от 26.11.2012 № 1069 «Об организации предоставления государственных и муниципальных услуг по принципу «одного окна» на территории Воронежской области», в целях реализации Федерального закона от 27.07.2010 № 210 - ФЗ «Об организации предоставления государственных и муниципальных услуг», в связи с изменениями действующего законодательства, администрация Дьяченковского сельского поселения Богучарского муниципального района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п о с т а н о в л я е т:</w:t>
      </w:r>
    </w:p>
    <w:p w14:paraId="08B404E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1. Утвердить Перечень муниципальных услуг, предоставление которых осуществляется по принципу «одного окна» в МФЦ, входящих в компетенцию органов местного самоуправления Дьяченковского сельского поселения, согласно приложению.</w:t>
      </w:r>
    </w:p>
    <w:p w14:paraId="7AD1AC9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2. Признать утратившими силу постановление администрации Дьяченковского сельского поселения Богучарского муниципального района от 20.04.2016 г. №44 «Об утверждении перечня муниципальных услуг, предоставление которых осуществляется по принципу «одного окна» в МФЦ, входящих в компетенцию органов местного самоуправления Дьяченковского сельского поселения».</w:t>
      </w:r>
    </w:p>
    <w:p w14:paraId="7D572DC7">
      <w:pPr>
        <w:pStyle w:val="17"/>
        <w:shd w:val="clear" w:color="auto" w:fill="auto"/>
        <w:spacing w:after="0" w:line="276" w:lineRule="auto"/>
        <w:ind w:firstLine="709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>
        <w:rPr>
          <w:i w:val="0"/>
          <w:sz w:val="28"/>
          <w:szCs w:val="28"/>
        </w:rPr>
        <w:t>Настоящее постановление вступает в силу со дня его официального опубликования в Вестнике органов местного самоуправления Дьяченковского сельского поселения  и подлежит размещению на официальном сайте администрации Дьяченковского  сельского поселения Богучарского муниципального района.</w:t>
      </w:r>
    </w:p>
    <w:p w14:paraId="4218AD62">
      <w:pPr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4. Контроль за исполнением настоящего постановления оставляю за собой.</w:t>
      </w:r>
    </w:p>
    <w:p w14:paraId="6AAA63C3">
      <w:pPr>
        <w:spacing w:after="0" w:line="36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7"/>
        <w:gridCol w:w="3139"/>
        <w:gridCol w:w="3195"/>
      </w:tblGrid>
      <w:tr w14:paraId="0BB87D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7" w:type="dxa"/>
          </w:tcPr>
          <w:p w14:paraId="67355D0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 xml:space="preserve">Глава Дьяченковского сельского поселения    </w:t>
            </w:r>
          </w:p>
        </w:tc>
        <w:tc>
          <w:tcPr>
            <w:tcW w:w="3139" w:type="dxa"/>
          </w:tcPr>
          <w:p w14:paraId="7CF5EA6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 xml:space="preserve">   </w:t>
            </w:r>
          </w:p>
        </w:tc>
        <w:tc>
          <w:tcPr>
            <w:tcW w:w="3195" w:type="dxa"/>
          </w:tcPr>
          <w:p w14:paraId="1BA9A16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 xml:space="preserve">                  </w:t>
            </w:r>
          </w:p>
          <w:p w14:paraId="73F7C95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В.И. Сыкалов</w:t>
            </w:r>
          </w:p>
        </w:tc>
      </w:tr>
    </w:tbl>
    <w:p w14:paraId="4F0408A6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56C296E1">
      <w:pPr>
        <w:spacing w:after="0" w:line="240" w:lineRule="auto"/>
        <w:ind w:firstLine="709"/>
        <w:jc w:val="right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br w:type="page"/>
      </w:r>
      <w:r>
        <w:rPr>
          <w:rFonts w:ascii="Times New Roman" w:hAnsi="Times New Roman" w:eastAsia="Calibri" w:cs="Times New Roman"/>
          <w:sz w:val="28"/>
          <w:szCs w:val="28"/>
        </w:rPr>
        <w:t>Приложение</w:t>
      </w:r>
    </w:p>
    <w:p w14:paraId="2B93C4AD">
      <w:pPr>
        <w:spacing w:after="0" w:line="240" w:lineRule="auto"/>
        <w:ind w:firstLine="709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 постановлению администрации</w:t>
      </w:r>
    </w:p>
    <w:p w14:paraId="2E7ECC99">
      <w:pPr>
        <w:spacing w:after="0" w:line="240" w:lineRule="auto"/>
        <w:ind w:firstLine="709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Дьяченковского сельского поселения</w:t>
      </w:r>
    </w:p>
    <w:p w14:paraId="52D628C5">
      <w:pPr>
        <w:spacing w:after="0" w:line="240" w:lineRule="auto"/>
        <w:ind w:firstLine="709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от 07.05.2024 года   №20</w:t>
      </w:r>
    </w:p>
    <w:p w14:paraId="2C6C7E87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2F4D540A">
      <w:pPr>
        <w:widowControl w:val="0"/>
        <w:spacing w:after="0"/>
        <w:ind w:firstLine="709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Перечень</w:t>
      </w:r>
    </w:p>
    <w:p w14:paraId="6FC6032D">
      <w:pPr>
        <w:widowControl w:val="0"/>
        <w:spacing w:after="0"/>
        <w:ind w:firstLine="709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муниципальных услуг, предоставление которых осуществляется по принципу «одного окна» в МФЦ, входящих в компетенцию органов местного самоуправления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Дьяченковского</w:t>
      </w:r>
      <w:r>
        <w:rPr>
          <w:rFonts w:hint="default" w:ascii="Times New Roman" w:hAnsi="Times New Roman" w:cs="Times New Roman"/>
          <w:sz w:val="28"/>
          <w:szCs w:val="28"/>
        </w:rPr>
        <w:t xml:space="preserve"> сельского поселения</w:t>
      </w:r>
    </w:p>
    <w:p w14:paraId="14E934B9">
      <w:pPr>
        <w:widowControl w:val="0"/>
        <w:tabs>
          <w:tab w:val="left" w:pos="851"/>
          <w:tab w:val="left" w:pos="5245"/>
        </w:tabs>
        <w:spacing w:after="0" w:line="240" w:lineRule="auto"/>
        <w:rPr>
          <w:rFonts w:hint="default" w:ascii="Times New Roman" w:hAnsi="Times New Roman" w:cs="Times New Roman"/>
          <w:sz w:val="28"/>
          <w:szCs w:val="28"/>
        </w:rPr>
      </w:pPr>
    </w:p>
    <w:p w14:paraId="010C23C3">
      <w:pPr>
        <w:pStyle w:val="21"/>
        <w:shd w:val="clear" w:color="auto" w:fill="auto"/>
        <w:tabs>
          <w:tab w:val="left" w:pos="1047"/>
        </w:tabs>
        <w:spacing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 Присвоение адреса объекту адресации, изменение и аннулирование такого адреса.</w:t>
      </w:r>
    </w:p>
    <w:p w14:paraId="776CEB46">
      <w:pPr>
        <w:pStyle w:val="21"/>
        <w:shd w:val="clear" w:color="auto" w:fill="auto"/>
        <w:tabs>
          <w:tab w:val="left" w:pos="1071"/>
        </w:tabs>
        <w:spacing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2. Направление уведомления о планируемом сносе объекта капитального строительства и уведомления о завершении сноса объекта капитального строительства.</w:t>
      </w:r>
    </w:p>
    <w:p w14:paraId="2064BA64">
      <w:pPr>
        <w:pStyle w:val="21"/>
        <w:shd w:val="clear" w:color="auto" w:fill="auto"/>
        <w:tabs>
          <w:tab w:val="left" w:pos="1071"/>
        </w:tabs>
        <w:spacing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 Признание садового дома жилым домом и жилого дома садовым домом.</w:t>
      </w:r>
    </w:p>
    <w:p w14:paraId="0BD92FB4">
      <w:pPr>
        <w:pStyle w:val="21"/>
        <w:shd w:val="clear" w:color="auto" w:fill="auto"/>
        <w:tabs>
          <w:tab w:val="left" w:pos="1071"/>
        </w:tabs>
        <w:spacing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4. Перевод жилого помещения в нежилое помещение и нежилого помещения в жилое помещение.</w:t>
      </w:r>
    </w:p>
    <w:p w14:paraId="2C124711">
      <w:pPr>
        <w:pStyle w:val="21"/>
        <w:shd w:val="clear" w:color="auto" w:fill="auto"/>
        <w:tabs>
          <w:tab w:val="left" w:pos="1071"/>
        </w:tabs>
        <w:spacing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5. Предоставление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 w14:paraId="19EB1DB6">
      <w:pPr>
        <w:pStyle w:val="21"/>
        <w:shd w:val="clear" w:color="auto" w:fill="auto"/>
        <w:tabs>
          <w:tab w:val="left" w:pos="1071"/>
        </w:tabs>
        <w:spacing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6. Принятие на учет граждан в качестве нуждающихся в жилых помещениях.</w:t>
      </w:r>
    </w:p>
    <w:p w14:paraId="46A821D7">
      <w:pPr>
        <w:pStyle w:val="21"/>
        <w:shd w:val="clear" w:color="auto" w:fill="auto"/>
        <w:tabs>
          <w:tab w:val="left" w:pos="1071"/>
        </w:tabs>
        <w:spacing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7. Предоставление информации об объектах учета из реестра муниципального имущества.</w:t>
      </w:r>
    </w:p>
    <w:p w14:paraId="1AE6A5A6">
      <w:pPr>
        <w:pStyle w:val="21"/>
        <w:shd w:val="clear" w:color="auto" w:fill="auto"/>
        <w:tabs>
          <w:tab w:val="left" w:pos="1086"/>
        </w:tabs>
        <w:spacing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8. Передача в собственность граждан занимаемых ими жилых помещений жилищного фонда (приватизация жилищного фонда).</w:t>
      </w:r>
    </w:p>
    <w:p w14:paraId="29380AC8">
      <w:pPr>
        <w:pStyle w:val="21"/>
        <w:shd w:val="clear" w:color="auto" w:fill="auto"/>
        <w:tabs>
          <w:tab w:val="left" w:pos="1086"/>
        </w:tabs>
        <w:spacing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9. Предоставление участка земли для создания семейных (родовых) захоронений.</w:t>
      </w:r>
    </w:p>
    <w:p w14:paraId="011BD621">
      <w:pPr>
        <w:pStyle w:val="21"/>
        <w:shd w:val="clear" w:color="auto" w:fill="auto"/>
        <w:tabs>
          <w:tab w:val="left" w:pos="1086"/>
        </w:tabs>
        <w:spacing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10. Предоставление разрешения на условно разрешенный вид использования земельного участка или объекта капитального строительства.</w:t>
      </w:r>
    </w:p>
    <w:p w14:paraId="0B4BB9B3">
      <w:pPr>
        <w:pStyle w:val="21"/>
        <w:shd w:val="clear" w:color="auto" w:fill="auto"/>
        <w:tabs>
          <w:tab w:val="left" w:pos="1086"/>
        </w:tabs>
        <w:spacing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11. Предоставление в аренду или безвозмездное пользование муниципального имущества.</w:t>
      </w:r>
    </w:p>
    <w:p w14:paraId="0C66407F">
      <w:pPr>
        <w:pStyle w:val="21"/>
        <w:shd w:val="clear" w:color="auto" w:fill="auto"/>
        <w:tabs>
          <w:tab w:val="left" w:pos="1086"/>
        </w:tabs>
        <w:spacing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12. Выдача архивных документов (архивных справок, выписок и копий).</w:t>
      </w:r>
    </w:p>
    <w:p w14:paraId="5143DFE9">
      <w:pPr>
        <w:pStyle w:val="21"/>
        <w:shd w:val="clear" w:color="auto" w:fill="auto"/>
        <w:tabs>
          <w:tab w:val="left" w:pos="1086"/>
        </w:tabs>
        <w:spacing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13 .Признание нуждающимися в предоставлении жилых помещений отдельных категорий граждан.</w:t>
      </w:r>
    </w:p>
    <w:p w14:paraId="40927C14">
      <w:pPr>
        <w:pStyle w:val="21"/>
        <w:shd w:val="clear" w:color="auto" w:fill="auto"/>
        <w:tabs>
          <w:tab w:val="left" w:pos="1086"/>
        </w:tabs>
        <w:spacing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14. Предоставление информации об очередности предоставления муниципальных жил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</w:rPr>
        <w:t>ых помещений на условиях социального найма.</w:t>
      </w:r>
    </w:p>
    <w:p w14:paraId="50A6004D">
      <w:pPr>
        <w:pStyle w:val="21"/>
        <w:shd w:val="clear" w:color="auto" w:fill="auto"/>
        <w:tabs>
          <w:tab w:val="left" w:pos="1086"/>
        </w:tabs>
        <w:spacing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15. Предоставление информации о порядке предоставления жилищно-коммунальных услуг населению.</w:t>
      </w:r>
    </w:p>
    <w:p w14:paraId="2527CBA5">
      <w:pPr>
        <w:pStyle w:val="21"/>
        <w:shd w:val="clear" w:color="auto" w:fill="auto"/>
        <w:tabs>
          <w:tab w:val="left" w:pos="1086"/>
        </w:tabs>
        <w:spacing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16.</w:t>
      </w:r>
      <w:r>
        <w:rPr>
          <w:rFonts w:hint="default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Прием заявлений и выдача документов о согласовании переустройства и (или) перепланировки жилого помещения.</w:t>
      </w:r>
    </w:p>
    <w:p w14:paraId="0EC786E2">
      <w:pPr>
        <w:pStyle w:val="21"/>
        <w:shd w:val="clear" w:color="auto" w:fill="auto"/>
        <w:tabs>
          <w:tab w:val="left" w:pos="1086"/>
        </w:tabs>
        <w:spacing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17. Предоставление разрешения на осуществление земляных работ</w:t>
      </w:r>
    </w:p>
    <w:p w14:paraId="176793F6">
      <w:pPr>
        <w:pStyle w:val="21"/>
        <w:shd w:val="clear" w:color="auto" w:fill="auto"/>
        <w:tabs>
          <w:tab w:val="left" w:pos="1086"/>
        </w:tabs>
        <w:spacing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18. Согласование проведения переустройства и (или) перепланировки помещения в многоквартирном доме.</w:t>
      </w:r>
    </w:p>
    <w:p w14:paraId="07A836A6">
      <w:pPr>
        <w:pStyle w:val="21"/>
        <w:shd w:val="clear" w:color="auto" w:fill="auto"/>
        <w:tabs>
          <w:tab w:val="left" w:pos="1086"/>
        </w:tabs>
        <w:spacing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19. Дача согласия на осуществление обмена жилыми помещениями между нанимателями данных помещений по договорам социального найма.</w:t>
      </w:r>
    </w:p>
    <w:p w14:paraId="3E08CE26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20. Согласование схемы движения транспорта и пешеходов на период проведения работ на проезжей части.</w:t>
      </w:r>
    </w:p>
    <w:p w14:paraId="570E55DE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21. Дача письменных разъяснений налогоплательщикам и налоговым агентам по вопросам применения муниципальных правовых актов о налогах и сборах.</w:t>
      </w:r>
    </w:p>
    <w:p w14:paraId="5AA3B831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22. Выдача разрешений на право организации розничного рынка.</w:t>
      </w:r>
    </w:p>
    <w:p w14:paraId="572E0DD8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23. Включение ярмарок по продаже товаров (выполнению работ, оказанию услуг), организаторами которых являются юридические лица или индивидуальные предприниматели в План проведения ярмарок.</w:t>
      </w:r>
    </w:p>
    <w:p w14:paraId="1B217C37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24. Предоставление жилых помещений муниципального специализированного жилищного фонда.</w:t>
      </w:r>
    </w:p>
    <w:p w14:paraId="1F5123D1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25.Проведение контрольно-геодезической съемки и передача исполнительной документации в уполномоченный орган государственной власти или местного самоуправления.</w:t>
      </w:r>
    </w:p>
    <w:p w14:paraId="6D74734C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26.Предоставление заключения о соответствии проектной документации сводному плану подземных коммуникаций и сооружений.</w:t>
      </w:r>
    </w:p>
    <w:p w14:paraId="7E115A91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27. Согласование проведения работ в технических и охранных зонах.</w:t>
      </w:r>
    </w:p>
    <w:p w14:paraId="3401DA03">
      <w:pPr>
        <w:widowControl w:val="0"/>
        <w:tabs>
          <w:tab w:val="left" w:pos="1056"/>
        </w:tabs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28. Выдача разрешения на перемещение отходов строительства, сноса зданий и сооружений, в том числе грунтов.</w:t>
      </w:r>
    </w:p>
    <w:p w14:paraId="6F97BE6D">
      <w:pPr>
        <w:widowControl w:val="0"/>
        <w:tabs>
          <w:tab w:val="left" w:pos="1056"/>
        </w:tabs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29. Предоставление жилого помещения по договору социального найма.</w:t>
      </w:r>
    </w:p>
    <w:p w14:paraId="6482C7E0">
      <w:pPr>
        <w:widowControl w:val="0"/>
        <w:tabs>
          <w:tab w:val="left" w:pos="1056"/>
        </w:tabs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30. 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реконструкции.</w:t>
      </w:r>
    </w:p>
    <w:p w14:paraId="45F4A560">
      <w:pPr>
        <w:pStyle w:val="21"/>
        <w:numPr>
          <w:numId w:val="0"/>
        </w:numPr>
        <w:shd w:val="clear" w:color="auto" w:fill="auto"/>
        <w:tabs>
          <w:tab w:val="left" w:pos="1378"/>
        </w:tabs>
        <w:spacing w:line="240" w:lineRule="auto"/>
        <w:ind w:left="729" w:leftChars="0" w:right="20" w:rightChars="0"/>
        <w:jc w:val="both"/>
        <w:rPr>
          <w:rStyle w:val="14"/>
          <w:rFonts w:hint="default" w:ascii="Times New Roman" w:hAnsi="Times New Roman" w:cs="Times New Roman" w:eastAsiaTheme="minorHAnsi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AB4"/>
    <w:rsid w:val="000E3EB7"/>
    <w:rsid w:val="00167544"/>
    <w:rsid w:val="001B4CBE"/>
    <w:rsid w:val="002068B2"/>
    <w:rsid w:val="0031437B"/>
    <w:rsid w:val="003C70A5"/>
    <w:rsid w:val="003F5AB4"/>
    <w:rsid w:val="00485CFB"/>
    <w:rsid w:val="004D0E3F"/>
    <w:rsid w:val="00632AC2"/>
    <w:rsid w:val="00636548"/>
    <w:rsid w:val="006405CC"/>
    <w:rsid w:val="00657A5D"/>
    <w:rsid w:val="0066094F"/>
    <w:rsid w:val="006766E9"/>
    <w:rsid w:val="006C2945"/>
    <w:rsid w:val="006C7A6D"/>
    <w:rsid w:val="00790F20"/>
    <w:rsid w:val="00805FA9"/>
    <w:rsid w:val="0087455C"/>
    <w:rsid w:val="008C252D"/>
    <w:rsid w:val="009302FB"/>
    <w:rsid w:val="00A04BDA"/>
    <w:rsid w:val="00A141E3"/>
    <w:rsid w:val="00AC2BAD"/>
    <w:rsid w:val="00B268D9"/>
    <w:rsid w:val="00B72B6C"/>
    <w:rsid w:val="00B91D6D"/>
    <w:rsid w:val="00BC3080"/>
    <w:rsid w:val="00C37EED"/>
    <w:rsid w:val="00CE5830"/>
    <w:rsid w:val="00D2145D"/>
    <w:rsid w:val="00E06EE6"/>
    <w:rsid w:val="00EF6503"/>
    <w:rsid w:val="00F0099D"/>
    <w:rsid w:val="00F247C2"/>
    <w:rsid w:val="22303D5B"/>
    <w:rsid w:val="3D1873E3"/>
    <w:rsid w:val="7F1E58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link w:val="18"/>
    <w:semiHidden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19"/>
    <w:semiHidden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customStyle="1" w:styleId="9">
    <w:name w:val="Style1"/>
    <w:basedOn w:val="1"/>
    <w:qFormat/>
    <w:uiPriority w:val="99"/>
    <w:pPr>
      <w:widowControl w:val="0"/>
      <w:autoSpaceDE w:val="0"/>
      <w:autoSpaceDN w:val="0"/>
      <w:adjustRightInd w:val="0"/>
      <w:spacing w:after="0" w:line="320" w:lineRule="exact"/>
      <w:jc w:val="center"/>
    </w:pPr>
    <w:rPr>
      <w:rFonts w:ascii="Calibri" w:hAnsi="Calibri" w:eastAsia="Times New Roman" w:cs="Calibri"/>
      <w:sz w:val="24"/>
      <w:szCs w:val="24"/>
      <w:lang w:eastAsia="ru-RU"/>
    </w:rPr>
  </w:style>
  <w:style w:type="paragraph" w:customStyle="1" w:styleId="10">
    <w:name w:val="Style4"/>
    <w:basedOn w:val="1"/>
    <w:qFormat/>
    <w:uiPriority w:val="99"/>
    <w:pPr>
      <w:widowControl w:val="0"/>
      <w:autoSpaceDE w:val="0"/>
      <w:autoSpaceDN w:val="0"/>
      <w:adjustRightInd w:val="0"/>
      <w:spacing w:after="0" w:line="322" w:lineRule="exact"/>
    </w:pPr>
    <w:rPr>
      <w:rFonts w:ascii="Calibri" w:hAnsi="Calibri" w:eastAsia="Times New Roman" w:cs="Calibri"/>
      <w:sz w:val="24"/>
      <w:szCs w:val="24"/>
      <w:lang w:eastAsia="ru-RU"/>
    </w:rPr>
  </w:style>
  <w:style w:type="paragraph" w:customStyle="1" w:styleId="11">
    <w:name w:val="Style7"/>
    <w:basedOn w:val="1"/>
    <w:qFormat/>
    <w:uiPriority w:val="99"/>
    <w:pPr>
      <w:widowControl w:val="0"/>
      <w:autoSpaceDE w:val="0"/>
      <w:autoSpaceDN w:val="0"/>
      <w:adjustRightInd w:val="0"/>
      <w:spacing w:after="0" w:line="374" w:lineRule="exact"/>
      <w:ind w:hanging="350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2">
    <w:name w:val="Style8"/>
    <w:basedOn w:val="1"/>
    <w:uiPriority w:val="99"/>
    <w:pPr>
      <w:widowControl w:val="0"/>
      <w:autoSpaceDE w:val="0"/>
      <w:autoSpaceDN w:val="0"/>
      <w:adjustRightInd w:val="0"/>
      <w:spacing w:after="0" w:line="324" w:lineRule="exact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3">
    <w:name w:val="Font Style11"/>
    <w:qFormat/>
    <w:uiPriority w:val="99"/>
    <w:rPr>
      <w:rFonts w:hint="default" w:ascii="Times New Roman" w:hAnsi="Times New Roman" w:cs="Times New Roman"/>
      <w:sz w:val="26"/>
      <w:szCs w:val="26"/>
    </w:rPr>
  </w:style>
  <w:style w:type="character" w:customStyle="1" w:styleId="14">
    <w:name w:val="Основной текст + 11 pt"/>
    <w:basedOn w:val="2"/>
    <w:qFormat/>
    <w:uiPriority w:val="0"/>
    <w:rPr>
      <w:rFonts w:hint="default" w:ascii="Times New Roman" w:hAnsi="Times New Roman" w:eastAsia="Times New Roman" w:cs="Times New Roman"/>
      <w:color w:val="000000"/>
      <w:spacing w:val="3"/>
      <w:w w:val="100"/>
      <w:position w:val="0"/>
      <w:sz w:val="22"/>
      <w:szCs w:val="22"/>
      <w:u w:val="none"/>
      <w:lang w:val="ru-RU"/>
    </w:rPr>
  </w:style>
  <w:style w:type="character" w:customStyle="1" w:styleId="15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6">
    <w:name w:val="Основной текст (9)_"/>
    <w:link w:val="17"/>
    <w:qFormat/>
    <w:locked/>
    <w:uiPriority w:val="0"/>
    <w:rPr>
      <w:rFonts w:ascii="Times New Roman" w:hAnsi="Times New Roman" w:eastAsia="Times New Roman" w:cs="Times New Roman"/>
      <w:i/>
      <w:iCs/>
      <w:spacing w:val="1"/>
      <w:sz w:val="20"/>
      <w:szCs w:val="20"/>
      <w:shd w:val="clear" w:color="auto" w:fill="FFFFFF"/>
    </w:rPr>
  </w:style>
  <w:style w:type="paragraph" w:customStyle="1" w:styleId="17">
    <w:name w:val="Основной текст (9)"/>
    <w:basedOn w:val="1"/>
    <w:link w:val="16"/>
    <w:qFormat/>
    <w:uiPriority w:val="0"/>
    <w:pPr>
      <w:shd w:val="clear" w:color="auto" w:fill="FFFFFF"/>
      <w:spacing w:after="240" w:line="0" w:lineRule="atLeast"/>
      <w:ind w:hanging="2080"/>
      <w:jc w:val="both"/>
    </w:pPr>
    <w:rPr>
      <w:rFonts w:ascii="Times New Roman" w:hAnsi="Times New Roman" w:eastAsia="Times New Roman" w:cs="Times New Roman"/>
      <w:i/>
      <w:iCs/>
      <w:spacing w:val="1"/>
      <w:sz w:val="20"/>
      <w:szCs w:val="20"/>
    </w:rPr>
  </w:style>
  <w:style w:type="character" w:customStyle="1" w:styleId="18">
    <w:name w:val="Верхний колонтитул Знак"/>
    <w:basedOn w:val="2"/>
    <w:link w:val="5"/>
    <w:semiHidden/>
    <w:qFormat/>
    <w:uiPriority w:val="99"/>
  </w:style>
  <w:style w:type="character" w:customStyle="1" w:styleId="19">
    <w:name w:val="Нижний колонтитул Знак"/>
    <w:basedOn w:val="2"/>
    <w:link w:val="6"/>
    <w:semiHidden/>
    <w:qFormat/>
    <w:uiPriority w:val="99"/>
  </w:style>
  <w:style w:type="character" w:customStyle="1" w:styleId="20">
    <w:name w:val="Основной текст_"/>
    <w:basedOn w:val="2"/>
    <w:link w:val="21"/>
    <w:qFormat/>
    <w:uiPriority w:val="0"/>
    <w:rPr>
      <w:rFonts w:ascii="Times New Roman" w:hAnsi="Times New Roman" w:eastAsia="Times New Roman" w:cs="Times New Roman"/>
      <w:spacing w:val="3"/>
      <w:sz w:val="25"/>
      <w:szCs w:val="25"/>
      <w:shd w:val="clear" w:color="auto" w:fill="FFFFFF"/>
    </w:rPr>
  </w:style>
  <w:style w:type="paragraph" w:customStyle="1" w:styleId="21">
    <w:name w:val="Основной текст1"/>
    <w:basedOn w:val="1"/>
    <w:link w:val="20"/>
    <w:qFormat/>
    <w:uiPriority w:val="0"/>
    <w:pPr>
      <w:widowControl w:val="0"/>
      <w:shd w:val="clear" w:color="auto" w:fill="FFFFFF"/>
      <w:spacing w:after="0" w:line="322" w:lineRule="exact"/>
      <w:jc w:val="right"/>
    </w:pPr>
    <w:rPr>
      <w:rFonts w:ascii="Times New Roman" w:hAnsi="Times New Roman" w:eastAsia="Times New Roman" w:cs="Times New Roman"/>
      <w:spacing w:val="3"/>
      <w:sz w:val="25"/>
      <w:szCs w:val="2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4</Pages>
  <Words>616</Words>
  <Characters>3512</Characters>
  <Lines>29</Lines>
  <Paragraphs>8</Paragraphs>
  <TotalTime>6</TotalTime>
  <ScaleCrop>false</ScaleCrop>
  <LinksUpToDate>false</LinksUpToDate>
  <CharactersWithSpaces>4120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2024-05-06T12:20:00Z</dcterms:created>
  <dc:creator>Войтикова Ирина Николаевна</dc:creator>
  <cp:lastModifiedBy>Дьяченково</cp:lastModifiedBy>
  <cp:lastPrinted>2024-03-22T12:05:00Z</cp:lastPrinted>
  <dcterms:modified xsi:type="dcterms:W3CDTF">2026-04-08T13:02:26Z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657A80AAC73F4E0E9A0494D9DD37C9B4_12</vt:lpwstr>
  </property>
</Properties>
</file>